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Gotham" w:hAnsi="Gotham"/>
          <w:b/>
          <w:color w:val="43535F"/>
          <w:sz w:val="16"/>
        </w:rPr>
        <w:t>STATEMENT OF WORK</w:t>
      </w:r>
    </w:p>
    <w:p>
      <w:pPr>
        <w:spacing w:after="80"/>
      </w:pPr>
      <w:r>
        <w:rPr>
          <w:rFonts w:ascii="Gotham" w:hAnsi="Gotham"/>
          <w:b/>
          <w:color w:val="051C2C"/>
          <w:sz w:val="48"/>
        </w:rPr>
        <w:t>Standards of excellence and content</w:t>
      </w:r>
    </w:p>
    <w:p>
      <w:pPr>
        <w:spacing w:after="280"/>
      </w:pPr>
      <w:r>
        <w:rPr>
          <w:rFonts w:ascii="Montserrat" w:hAnsi="Montserrat"/>
          <w:b w:val="0"/>
          <w:color w:val="43535F"/>
          <w:sz w:val="18"/>
        </w:rPr>
        <w:t>Enablement  |  6-8 wks · 3 workstreams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The content layer most enablement platforms are bought to deliver and then never given. Playbooks, objection handling, pricing guidance.</w:t>
      </w:r>
    </w:p>
    <w:p>
      <w:pPr>
        <w:spacing w:before="200" w:after="200"/>
      </w:pPr>
      <w:r>
        <w:rPr>
          <w:rFonts w:ascii="Montserrat" w:hAnsi="Montserrat"/>
          <w:b w:val="0"/>
          <w:color w:val="43535F"/>
          <w:sz w:val="20"/>
        </w:rPr>
        <w:t>Between [  ] (the Client) and [  ] (the Firm), dated [  ].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HOW TO USE THIS TEMPLATE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Square brackets mark everything that must be replaced. Nothing in this document should reach a client with a bracket still in it.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The structure follows the argument a buyer actually evaluates: what is true now, what it costs to leave alone, what will exist when the work is finished, and what happens if an assumption turns out to be wrong.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1. SITUATION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Four bullets, each carrying a number, a named entity or a date. Delete anything a competitor could have written after reading the client's website.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2. COMPLICATION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the problem with a size attached. A complication with no number cannot be weighed against the fee.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Current performance: [  ] against a benchmark of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Consequence if unaddressed: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Surfaces at: [  ] (meeting, review or reporting point)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3. SCOPE OF WORK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This engagement comprises 3 workstreams over 6-8 wks · 3 workstreams.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3.1  Standards by role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3.2  Discovery and qualification playbook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220" w:after="60"/>
      </w:pPr>
      <w:r>
        <w:rPr>
          <w:rFonts w:ascii="Gotham" w:hAnsi="Gotham"/>
          <w:b/>
          <w:color w:val="051C2C"/>
          <w:sz w:val="22"/>
        </w:rPr>
        <w:t>3.3  Objection and pricing guidance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Scope: </w:t>
      </w:r>
      <w:r>
        <w:rPr>
          <w:rFonts w:ascii="Montserrat" w:hAnsi="Montserrat"/>
          <w:b w:val="0"/>
          <w:i/>
          <w:color w:val="43535F"/>
          <w:sz w:val="20"/>
        </w:rPr>
        <w:t>[  ]  (what this workstream covers)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Deliverables: </w:t>
      </w:r>
      <w:r>
        <w:rPr>
          <w:rFonts w:ascii="Montserrat" w:hAnsi="Montserrat"/>
          <w:b w:val="0"/>
          <w:i/>
          <w:color w:val="43535F"/>
          <w:sz w:val="20"/>
        </w:rPr>
        <w:t>[  ]  (the specific documents, systems or programmes produced)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Impact: </w:t>
      </w:r>
      <w:r>
        <w:rPr>
          <w:rFonts w:ascii="Montserrat" w:hAnsi="Montserrat"/>
          <w:b w:val="0"/>
          <w:i/>
          <w:color w:val="43535F"/>
          <w:sz w:val="20"/>
        </w:rPr>
        <w:t>[  ]  (what changes for the client as a result)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Risk of inaction: </w:t>
      </w:r>
      <w:r>
        <w:rPr>
          <w:rFonts w:ascii="Montserrat" w:hAnsi="Montserrat"/>
          <w:b w:val="0"/>
          <w:i/>
          <w:color w:val="43535F"/>
          <w:sz w:val="20"/>
        </w:rPr>
        <w:t>[  ]  (what happens if this workstream is cut)</w:t>
      </w:r>
    </w:p>
    <w:p>
      <w:pPr>
        <w:spacing w:after="40"/>
      </w:pPr>
      <w:r>
        <w:rPr>
          <w:rFonts w:ascii="Montserrat" w:hAnsi="Montserrat"/>
          <w:b/>
          <w:color w:val="051C2C"/>
          <w:sz w:val="20"/>
        </w:rPr>
        <w:t xml:space="preserve">Adoption: </w:t>
      </w:r>
      <w:r>
        <w:rPr>
          <w:rFonts w:ascii="Montserrat" w:hAnsi="Montserrat"/>
          <w:b w:val="0"/>
          <w:i/>
          <w:color w:val="43535F"/>
          <w:sz w:val="20"/>
        </w:rPr>
        <w:t>[  ]  (who owns this internally once the Firm leaves)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4. OUT OF SCOPE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Name exclusions narrowly and specifically. A short exclusion a reader can test beats an exhaustive one they cannot.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5. ASSUMPTIONS AND DEPENDENCIES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Every assumption needs a stated consequence. An assumption without one is a disclaimer; with one it is a mechanism both parties can use.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pStyle w:val="ListBullet"/>
        <w:spacing w:after="60"/>
      </w:pPr>
      <w:r>
        <w:rPr>
          <w:rFonts w:ascii="Montserrat" w:hAnsi="Montserrat"/>
          <w:b/>
          <w:color w:val="051C2C"/>
          <w:sz w:val="20"/>
        </w:rPr>
        <w:t xml:space="preserve">Assumption: </w:t>
      </w:r>
      <w:r>
        <w:rPr>
          <w:rFonts w:ascii="Montserrat" w:hAnsi="Montserrat"/>
          <w:b w:val="0"/>
          <w:color w:val="43535F"/>
          <w:sz w:val="20"/>
        </w:rPr>
        <w:t xml:space="preserve">[  ]  |  </w:t>
      </w:r>
      <w:r>
        <w:rPr>
          <w:rFonts w:ascii="Montserrat" w:hAnsi="Montserrat"/>
          <w:b/>
          <w:color w:val="051C2C"/>
          <w:sz w:val="20"/>
        </w:rPr>
        <w:t xml:space="preserve">If untrue: </w:t>
      </w:r>
      <w:r>
        <w:rPr>
          <w:rFonts w:ascii="Montserrat" w:hAnsi="Montserrat"/>
          <w:b w:val="0"/>
          <w:i/>
          <w:color w:val="43535F"/>
          <w:sz w:val="20"/>
        </w:rPr>
        <w:t>[  ] (effect on price, timing or scope, and how the change is agreed)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6. COMMERCIALS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State which party carries which uncertainty. A fee structure is a risk allocation before it is a price.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Structure: [  ] (fixed fee, day rate, blended or hourly)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Investment: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Team and seniority mix: [  ]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Invoicing schedule: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7. DESCOPED ITEMS</w:t>
      </w:r>
    </w:p>
    <w:p>
      <w:pPr>
        <w:spacing w:after="140"/>
      </w:pPr>
      <w:r>
        <w:rPr>
          <w:rFonts w:ascii="Montserrat" w:hAnsi="Montserrat"/>
          <w:b w:val="0"/>
          <w:i/>
          <w:color w:val="43535F"/>
          <w:sz w:val="20"/>
        </w:rPr>
        <w:t>Anything removed during negotiation belongs here with its consequence attached, so the decision is recorded rather than forgotten.</w:t>
      </w:r>
    </w:p>
    <w:p>
      <w:pPr>
        <w:pStyle w:val="ListBullet"/>
        <w:spacing w:after="60"/>
      </w:pPr>
      <w:r>
        <w:rPr>
          <w:rFonts w:ascii="Montserrat" w:hAnsi="Montserrat"/>
          <w:b w:val="0"/>
          <w:i w:val="0"/>
          <w:color w:val="43535F"/>
          <w:sz w:val="20"/>
        </w:rPr>
        <w:t>Item: [  ]  |  Risk accepted by client: [  ]</w:t>
      </w:r>
    </w:p>
    <w:p>
      <w:pPr>
        <w:spacing w:before="320" w:after="100"/>
      </w:pPr>
      <w:r>
        <w:rPr>
          <w:rFonts w:ascii="Gotham" w:hAnsi="Gotham"/>
          <w:b/>
          <w:color w:val="051C2C"/>
          <w:sz w:val="26"/>
        </w:rPr>
        <w:t>8. ACCEPTANCE</w:t>
      </w:r>
    </w:p>
    <w:p>
      <w:pPr>
        <w:spacing w:after="140"/>
      </w:pPr>
      <w:r>
        <w:rPr>
          <w:rFonts w:ascii="Montserrat" w:hAnsi="Montserrat"/>
          <w:b w:val="0"/>
          <w:i w:val="0"/>
          <w:color w:val="43535F"/>
          <w:sz w:val="20"/>
        </w:rPr>
        <w:t>Signed for and on behalf of the parties.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Client:  Name [  ]    Title [  ]    Signature [  ]    Date [  ]</w:t>
      </w:r>
    </w:p>
    <w:p>
      <w:pPr>
        <w:spacing w:before="240"/>
      </w:pPr>
      <w:r>
        <w:rPr>
          <w:rFonts w:ascii="Montserrat" w:hAnsi="Montserrat"/>
          <w:b w:val="0"/>
          <w:color w:val="43535F"/>
          <w:sz w:val="18"/>
        </w:rPr>
        <w:t>Firm:  Name [  ]    Title [  ]    Signature [  ]    Date [  ]</w:t>
      </w:r>
    </w:p>
    <w:p>
      <w:pPr>
        <w:spacing w:before="440"/>
        <w:jc w:val="center"/>
      </w:pPr>
      <w:r>
        <w:rPr>
          <w:rFonts w:ascii="Montserrat" w:hAnsi="Montserrat"/>
          <w:b w:val="0"/>
          <w:color w:val="43535F"/>
          <w:sz w:val="16"/>
        </w:rPr>
        <w:t>Template by Cortado Group  |  cortadogroup.com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ontserrat" w:hAnsi="Montserrat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