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Gotham" w:hAnsi="Gotham"/>
          <w:b/>
          <w:color w:val="43535F"/>
          <w:sz w:val="16"/>
        </w:rPr>
        <w:t>STATEMENT OF WORK</w:t>
      </w:r>
    </w:p>
    <w:p>
      <w:pPr>
        <w:spacing w:after="80"/>
      </w:pPr>
      <w:r>
        <w:rPr>
          <w:rFonts w:ascii="Gotham" w:hAnsi="Gotham"/>
          <w:b/>
          <w:color w:val="051C2C"/>
          <w:sz w:val="48"/>
        </w:rPr>
        <w:t>Manager coaching cadence</w:t>
      </w:r>
    </w:p>
    <w:p>
      <w:pPr>
        <w:spacing w:after="280"/>
      </w:pPr>
      <w:r>
        <w:rPr>
          <w:rFonts w:ascii="Montserrat" w:hAnsi="Montserrat"/>
          <w:b w:val="0"/>
          <w:color w:val="43535F"/>
          <w:sz w:val="18"/>
        </w:rPr>
        <w:t>Leadership  |  6-10 wks · 3 workstreams</w:t>
      </w:r>
    </w:p>
    <w:p>
      <w:pPr>
        <w:spacing w:after="140"/>
      </w:pPr>
      <w:r>
        <w:rPr>
          <w:rFonts w:ascii="Montserrat" w:hAnsi="Montserrat"/>
          <w:b w:val="0"/>
          <w:i w:val="0"/>
          <w:color w:val="43535F"/>
          <w:sz w:val="20"/>
        </w:rPr>
        <w:t>The workstream that decides whether everything else sticks. Changes how managers run one-on-ones and pipeline reviews.</w:t>
      </w:r>
    </w:p>
    <w:p>
      <w:pPr>
        <w:spacing w:before="200" w:after="200"/>
      </w:pPr>
      <w:r>
        <w:rPr>
          <w:rFonts w:ascii="Montserrat" w:hAnsi="Montserrat"/>
          <w:b w:val="0"/>
          <w:color w:val="43535F"/>
          <w:sz w:val="20"/>
        </w:rPr>
        <w:t>Between [  ] (the Client) and [  ] (the Firm), dated [  ].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HOW TO USE THIS TEMPLATE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Square brackets mark everything that must be replaced. Nothing in this document should reach a client with a bracket still in it.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The structure follows the argument a buyer actually evaluates: what is true now, what it costs to leave alone, what will exist when the work is finished, and what happens if an assumption turns out to be wrong.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1. SITUATION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Four bullets, each carrying a number, a named entity or a date. Delete anything a competitor could have written after reading the client's website.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2. COMPLICATION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State the problem with a size attached. A complication with no number cannot be weighed against the fee.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Current performance: [  ] against a benchmark of 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Consequence if unaddressed: 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Surfaces at: [  ] (meeting, review or reporting point)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3. SCOPE OF WORK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This engagement comprises 3 workstreams over 6-10 wks · 3 workstreams.</w:t>
      </w:r>
    </w:p>
    <w:p>
      <w:pPr>
        <w:spacing w:before="220" w:after="60"/>
      </w:pPr>
      <w:r>
        <w:rPr>
          <w:rFonts w:ascii="Gotham" w:hAnsi="Gotham"/>
          <w:b/>
          <w:color w:val="051C2C"/>
          <w:sz w:val="22"/>
        </w:rPr>
        <w:t>3.1  Coaching curriculum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Scope: </w:t>
      </w:r>
      <w:r>
        <w:rPr>
          <w:rFonts w:ascii="Montserrat" w:hAnsi="Montserrat"/>
          <w:b w:val="0"/>
          <w:i/>
          <w:color w:val="43535F"/>
          <w:sz w:val="20"/>
        </w:rPr>
        <w:t>[  ]  (what this workstream covers)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Deliverables: </w:t>
      </w:r>
      <w:r>
        <w:rPr>
          <w:rFonts w:ascii="Montserrat" w:hAnsi="Montserrat"/>
          <w:b w:val="0"/>
          <w:i/>
          <w:color w:val="43535F"/>
          <w:sz w:val="20"/>
        </w:rPr>
        <w:t>[  ]  (the specific documents, systems or programmes produced)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Impact: </w:t>
      </w:r>
      <w:r>
        <w:rPr>
          <w:rFonts w:ascii="Montserrat" w:hAnsi="Montserrat"/>
          <w:b w:val="0"/>
          <w:i/>
          <w:color w:val="43535F"/>
          <w:sz w:val="20"/>
        </w:rPr>
        <w:t>[  ]  (what changes for the client as a result)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Risk of inaction: </w:t>
      </w:r>
      <w:r>
        <w:rPr>
          <w:rFonts w:ascii="Montserrat" w:hAnsi="Montserrat"/>
          <w:b w:val="0"/>
          <w:i/>
          <w:color w:val="43535F"/>
          <w:sz w:val="20"/>
        </w:rPr>
        <w:t>[  ]  (what happens if this workstream is cut)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Adoption: </w:t>
      </w:r>
      <w:r>
        <w:rPr>
          <w:rFonts w:ascii="Montserrat" w:hAnsi="Montserrat"/>
          <w:b w:val="0"/>
          <w:i/>
          <w:color w:val="43535F"/>
          <w:sz w:val="20"/>
        </w:rPr>
        <w:t>[  ]  (who owns this internally once the Firm leaves)</w:t>
      </w:r>
    </w:p>
    <w:p>
      <w:pPr>
        <w:spacing w:before="220" w:after="60"/>
      </w:pPr>
      <w:r>
        <w:rPr>
          <w:rFonts w:ascii="Gotham" w:hAnsi="Gotham"/>
          <w:b/>
          <w:color w:val="051C2C"/>
          <w:sz w:val="22"/>
        </w:rPr>
        <w:t>3.2  One-on-one and review standard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Scope: </w:t>
      </w:r>
      <w:r>
        <w:rPr>
          <w:rFonts w:ascii="Montserrat" w:hAnsi="Montserrat"/>
          <w:b w:val="0"/>
          <w:i/>
          <w:color w:val="43535F"/>
          <w:sz w:val="20"/>
        </w:rPr>
        <w:t>[  ]  (what this workstream covers)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Deliverables: </w:t>
      </w:r>
      <w:r>
        <w:rPr>
          <w:rFonts w:ascii="Montserrat" w:hAnsi="Montserrat"/>
          <w:b w:val="0"/>
          <w:i/>
          <w:color w:val="43535F"/>
          <w:sz w:val="20"/>
        </w:rPr>
        <w:t>[  ]  (the specific documents, systems or programmes produced)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Impact: </w:t>
      </w:r>
      <w:r>
        <w:rPr>
          <w:rFonts w:ascii="Montserrat" w:hAnsi="Montserrat"/>
          <w:b w:val="0"/>
          <w:i/>
          <w:color w:val="43535F"/>
          <w:sz w:val="20"/>
        </w:rPr>
        <w:t>[  ]  (what changes for the client as a result)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Risk of inaction: </w:t>
      </w:r>
      <w:r>
        <w:rPr>
          <w:rFonts w:ascii="Montserrat" w:hAnsi="Montserrat"/>
          <w:b w:val="0"/>
          <w:i/>
          <w:color w:val="43535F"/>
          <w:sz w:val="20"/>
        </w:rPr>
        <w:t>[  ]  (what happens if this workstream is cut)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Adoption: </w:t>
      </w:r>
      <w:r>
        <w:rPr>
          <w:rFonts w:ascii="Montserrat" w:hAnsi="Montserrat"/>
          <w:b w:val="0"/>
          <w:i/>
          <w:color w:val="43535F"/>
          <w:sz w:val="20"/>
        </w:rPr>
        <w:t>[  ]  (who owns this internally once the Firm leaves)</w:t>
      </w:r>
    </w:p>
    <w:p>
      <w:pPr>
        <w:spacing w:before="220" w:after="60"/>
      </w:pPr>
      <w:r>
        <w:rPr>
          <w:rFonts w:ascii="Gotham" w:hAnsi="Gotham"/>
          <w:b/>
          <w:color w:val="051C2C"/>
          <w:sz w:val="22"/>
        </w:rPr>
        <w:t>3.3  Steering committee rhythm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Scope: </w:t>
      </w:r>
      <w:r>
        <w:rPr>
          <w:rFonts w:ascii="Montserrat" w:hAnsi="Montserrat"/>
          <w:b w:val="0"/>
          <w:i/>
          <w:color w:val="43535F"/>
          <w:sz w:val="20"/>
        </w:rPr>
        <w:t>[  ]  (what this workstream covers)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Deliverables: </w:t>
      </w:r>
      <w:r>
        <w:rPr>
          <w:rFonts w:ascii="Montserrat" w:hAnsi="Montserrat"/>
          <w:b w:val="0"/>
          <w:i/>
          <w:color w:val="43535F"/>
          <w:sz w:val="20"/>
        </w:rPr>
        <w:t>[  ]  (the specific documents, systems or programmes produced)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Impact: </w:t>
      </w:r>
      <w:r>
        <w:rPr>
          <w:rFonts w:ascii="Montserrat" w:hAnsi="Montserrat"/>
          <w:b w:val="0"/>
          <w:i/>
          <w:color w:val="43535F"/>
          <w:sz w:val="20"/>
        </w:rPr>
        <w:t>[  ]  (what changes for the client as a result)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Risk of inaction: </w:t>
      </w:r>
      <w:r>
        <w:rPr>
          <w:rFonts w:ascii="Montserrat" w:hAnsi="Montserrat"/>
          <w:b w:val="0"/>
          <w:i/>
          <w:color w:val="43535F"/>
          <w:sz w:val="20"/>
        </w:rPr>
        <w:t>[  ]  (what happens if this workstream is cut)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Adoption: </w:t>
      </w:r>
      <w:r>
        <w:rPr>
          <w:rFonts w:ascii="Montserrat" w:hAnsi="Montserrat"/>
          <w:b w:val="0"/>
          <w:i/>
          <w:color w:val="43535F"/>
          <w:sz w:val="20"/>
        </w:rPr>
        <w:t>[  ]  (who owns this internally once the Firm leaves)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4. OUT OF SCOPE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Name exclusions narrowly and specifically. A short exclusion a reader can test beats an exhaustive one they cannot.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5. ASSUMPTIONS AND DEPENDENCIES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Every assumption needs a stated consequence. An assumption without one is a disclaimer; with one it is a mechanism both parties can use.</w:t>
      </w:r>
    </w:p>
    <w:p>
      <w:pPr>
        <w:pStyle w:val="ListBullet"/>
        <w:spacing w:after="60"/>
      </w:pPr>
      <w:r>
        <w:rPr>
          <w:rFonts w:ascii="Montserrat" w:hAnsi="Montserrat"/>
          <w:b/>
          <w:color w:val="051C2C"/>
          <w:sz w:val="20"/>
        </w:rPr>
        <w:t xml:space="preserve">Assumption: </w:t>
      </w:r>
      <w:r>
        <w:rPr>
          <w:rFonts w:ascii="Montserrat" w:hAnsi="Montserrat"/>
          <w:b w:val="0"/>
          <w:color w:val="43535F"/>
          <w:sz w:val="20"/>
        </w:rPr>
        <w:t xml:space="preserve">[  ]  |  </w:t>
      </w:r>
      <w:r>
        <w:rPr>
          <w:rFonts w:ascii="Montserrat" w:hAnsi="Montserrat"/>
          <w:b/>
          <w:color w:val="051C2C"/>
          <w:sz w:val="20"/>
        </w:rPr>
        <w:t xml:space="preserve">If untrue: </w:t>
      </w:r>
      <w:r>
        <w:rPr>
          <w:rFonts w:ascii="Montserrat" w:hAnsi="Montserrat"/>
          <w:b w:val="0"/>
          <w:i/>
          <w:color w:val="43535F"/>
          <w:sz w:val="20"/>
        </w:rPr>
        <w:t>[  ] (effect on price, timing or scope, and how the change is agreed)</w:t>
      </w:r>
    </w:p>
    <w:p>
      <w:pPr>
        <w:pStyle w:val="ListBullet"/>
        <w:spacing w:after="60"/>
      </w:pPr>
      <w:r>
        <w:rPr>
          <w:rFonts w:ascii="Montserrat" w:hAnsi="Montserrat"/>
          <w:b/>
          <w:color w:val="051C2C"/>
          <w:sz w:val="20"/>
        </w:rPr>
        <w:t xml:space="preserve">Assumption: </w:t>
      </w:r>
      <w:r>
        <w:rPr>
          <w:rFonts w:ascii="Montserrat" w:hAnsi="Montserrat"/>
          <w:b w:val="0"/>
          <w:color w:val="43535F"/>
          <w:sz w:val="20"/>
        </w:rPr>
        <w:t xml:space="preserve">[  ]  |  </w:t>
      </w:r>
      <w:r>
        <w:rPr>
          <w:rFonts w:ascii="Montserrat" w:hAnsi="Montserrat"/>
          <w:b/>
          <w:color w:val="051C2C"/>
          <w:sz w:val="20"/>
        </w:rPr>
        <w:t xml:space="preserve">If untrue: </w:t>
      </w:r>
      <w:r>
        <w:rPr>
          <w:rFonts w:ascii="Montserrat" w:hAnsi="Montserrat"/>
          <w:b w:val="0"/>
          <w:i/>
          <w:color w:val="43535F"/>
          <w:sz w:val="20"/>
        </w:rPr>
        <w:t>[  ] (effect on price, timing or scope, and how the change is agreed)</w:t>
      </w:r>
    </w:p>
    <w:p>
      <w:pPr>
        <w:pStyle w:val="ListBullet"/>
        <w:spacing w:after="60"/>
      </w:pPr>
      <w:r>
        <w:rPr>
          <w:rFonts w:ascii="Montserrat" w:hAnsi="Montserrat"/>
          <w:b/>
          <w:color w:val="051C2C"/>
          <w:sz w:val="20"/>
        </w:rPr>
        <w:t xml:space="preserve">Assumption: </w:t>
      </w:r>
      <w:r>
        <w:rPr>
          <w:rFonts w:ascii="Montserrat" w:hAnsi="Montserrat"/>
          <w:b w:val="0"/>
          <w:color w:val="43535F"/>
          <w:sz w:val="20"/>
        </w:rPr>
        <w:t xml:space="preserve">[  ]  |  </w:t>
      </w:r>
      <w:r>
        <w:rPr>
          <w:rFonts w:ascii="Montserrat" w:hAnsi="Montserrat"/>
          <w:b/>
          <w:color w:val="051C2C"/>
          <w:sz w:val="20"/>
        </w:rPr>
        <w:t xml:space="preserve">If untrue: </w:t>
      </w:r>
      <w:r>
        <w:rPr>
          <w:rFonts w:ascii="Montserrat" w:hAnsi="Montserrat"/>
          <w:b w:val="0"/>
          <w:i/>
          <w:color w:val="43535F"/>
          <w:sz w:val="20"/>
        </w:rPr>
        <w:t>[  ] (effect on price, timing or scope, and how the change is agreed)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6. COMMERCIALS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State which party carries which uncertainty. A fee structure is a risk allocation before it is a price.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Structure: [  ] (fixed fee, day rate, blended or hourly)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Investment: 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Team and seniority mix: 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Invoicing schedule: [  ]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7. DESCOPED ITEMS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Anything removed during negotiation belongs here with its consequence attached, so the decision is recorded rather than forgotten.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Item: [  ]  |  Risk accepted by client: [  ]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8. ACCEPTANCE</w:t>
      </w:r>
    </w:p>
    <w:p>
      <w:pPr>
        <w:spacing w:after="140"/>
      </w:pPr>
      <w:r>
        <w:rPr>
          <w:rFonts w:ascii="Montserrat" w:hAnsi="Montserrat"/>
          <w:b w:val="0"/>
          <w:i w:val="0"/>
          <w:color w:val="43535F"/>
          <w:sz w:val="20"/>
        </w:rPr>
        <w:t>Signed for and on behalf of the parties.</w:t>
      </w:r>
    </w:p>
    <w:p>
      <w:pPr>
        <w:spacing w:before="240"/>
      </w:pPr>
      <w:r>
        <w:rPr>
          <w:rFonts w:ascii="Montserrat" w:hAnsi="Montserrat"/>
          <w:b w:val="0"/>
          <w:color w:val="43535F"/>
          <w:sz w:val="18"/>
        </w:rPr>
        <w:t>Client:  Name [  ]    Title [  ]    Signature [  ]    Date [  ]</w:t>
      </w:r>
    </w:p>
    <w:p>
      <w:pPr>
        <w:spacing w:before="240"/>
      </w:pPr>
      <w:r>
        <w:rPr>
          <w:rFonts w:ascii="Montserrat" w:hAnsi="Montserrat"/>
          <w:b w:val="0"/>
          <w:color w:val="43535F"/>
          <w:sz w:val="18"/>
        </w:rPr>
        <w:t>Firm:  Name [  ]    Title [  ]    Signature [  ]    Date [  ]</w:t>
      </w:r>
    </w:p>
    <w:p>
      <w:pPr>
        <w:spacing w:before="440"/>
        <w:jc w:val="center"/>
      </w:pPr>
      <w:r>
        <w:rPr>
          <w:rFonts w:ascii="Montserrat" w:hAnsi="Montserrat"/>
          <w:b w:val="0"/>
          <w:color w:val="43535F"/>
          <w:sz w:val="16"/>
        </w:rPr>
        <w:t>Template by Cortado Group  |  cortadogroup.com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ontserrat" w:hAnsi="Montserrat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