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Gotham" w:hAnsi="Gotham"/>
          <w:b/>
          <w:color w:val="43535F"/>
          <w:sz w:val="16"/>
        </w:rPr>
        <w:t>STATEMENT OF WORK</w:t>
      </w:r>
    </w:p>
    <w:p>
      <w:pPr>
        <w:spacing w:after="80"/>
      </w:pPr>
      <w:r>
        <w:rPr>
          <w:rFonts w:ascii="Gotham" w:hAnsi="Gotham"/>
          <w:b/>
          <w:color w:val="051C2C"/>
          <w:sz w:val="48"/>
        </w:rPr>
        <w:t>CRM consolidation and migration</w:t>
      </w:r>
    </w:p>
    <w:p>
      <w:pPr>
        <w:spacing w:after="280"/>
      </w:pPr>
      <w:r>
        <w:rPr>
          <w:rFonts w:ascii="Montserrat" w:hAnsi="Montserrat"/>
          <w:b w:val="0"/>
          <w:color w:val="43535F"/>
          <w:sz w:val="18"/>
        </w:rPr>
        <w:t>Revenue operations  |  9-14 wks · 4 workstreams</w:t>
      </w:r>
    </w:p>
    <w:p>
      <w:pPr>
        <w:spacing w:after="140"/>
      </w:pPr>
      <w:r>
        <w:rPr>
          <w:rFonts w:ascii="Montserrat" w:hAnsi="Montserrat"/>
          <w:b w:val="0"/>
          <w:i w:val="0"/>
          <w:color w:val="43535F"/>
          <w:sz w:val="20"/>
        </w:rPr>
        <w:t>For platforms carrying multiple unmerged instances after acquisition. Architecture, migration, reconciliation.</w:t>
      </w:r>
    </w:p>
    <w:p>
      <w:pPr>
        <w:spacing w:before="200" w:after="200"/>
      </w:pPr>
      <w:r>
        <w:rPr>
          <w:rFonts w:ascii="Montserrat" w:hAnsi="Montserrat"/>
          <w:b w:val="0"/>
          <w:color w:val="43535F"/>
          <w:sz w:val="20"/>
        </w:rPr>
        <w:t>Between [  ] (the Client) and [  ] (the Firm), dated [  ].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HOW TO USE THIS TEMPLATE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Square brackets mark everything that must be replaced. Nothing in this document should reach a client with a bracket still in it.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The structure follows the argument a buyer actually evaluates: what is true now, what it costs to leave alone, what will exist when the work is finished, and what happens if an assumption turns out to be wrong.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1. SITUATION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Four bullets, each carrying a number, a named entity or a date. Delete anything a competitor could have written after reading the client's website.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2. COMPLICATION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State the problem with a size attached. A complication with no number cannot be weighed against the fee.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Current performance: [  ] against a benchmark of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Consequence if unaddressed: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Surfaces at: [  ] (meeting, review or reporting point)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3. SCOPE OF WORK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This engagement comprises 3 workstreams over 9-14 wks · 4 workstreams.</w:t>
      </w:r>
    </w:p>
    <w:p>
      <w:pPr>
        <w:spacing w:before="220" w:after="60"/>
      </w:pPr>
      <w:r>
        <w:rPr>
          <w:rFonts w:ascii="Gotham" w:hAnsi="Gotham"/>
          <w:b/>
          <w:color w:val="051C2C"/>
          <w:sz w:val="22"/>
        </w:rPr>
        <w:t>3.1  Architecture and field mapping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Scope: </w:t>
      </w:r>
      <w:r>
        <w:rPr>
          <w:rFonts w:ascii="Montserrat" w:hAnsi="Montserrat"/>
          <w:b w:val="0"/>
          <w:i/>
          <w:color w:val="43535F"/>
          <w:sz w:val="20"/>
        </w:rPr>
        <w:t>[  ]  (what this workstream covers)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Deliverables: </w:t>
      </w:r>
      <w:r>
        <w:rPr>
          <w:rFonts w:ascii="Montserrat" w:hAnsi="Montserrat"/>
          <w:b w:val="0"/>
          <w:i/>
          <w:color w:val="43535F"/>
          <w:sz w:val="20"/>
        </w:rPr>
        <w:t>[  ]  (the specific documents, systems or programmes produced)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Impact: </w:t>
      </w:r>
      <w:r>
        <w:rPr>
          <w:rFonts w:ascii="Montserrat" w:hAnsi="Montserrat"/>
          <w:b w:val="0"/>
          <w:i/>
          <w:color w:val="43535F"/>
          <w:sz w:val="20"/>
        </w:rPr>
        <w:t>[  ]  (what changes for the client as a result)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Risk of inaction: </w:t>
      </w:r>
      <w:r>
        <w:rPr>
          <w:rFonts w:ascii="Montserrat" w:hAnsi="Montserrat"/>
          <w:b w:val="0"/>
          <w:i/>
          <w:color w:val="43535F"/>
          <w:sz w:val="20"/>
        </w:rPr>
        <w:t>[  ]  (what happens if this workstream is cut)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Adoption: </w:t>
      </w:r>
      <w:r>
        <w:rPr>
          <w:rFonts w:ascii="Montserrat" w:hAnsi="Montserrat"/>
          <w:b w:val="0"/>
          <w:i/>
          <w:color w:val="43535F"/>
          <w:sz w:val="20"/>
        </w:rPr>
        <w:t>[  ]  (who owns this internally once the Firm leaves)</w:t>
      </w:r>
    </w:p>
    <w:p>
      <w:pPr>
        <w:spacing w:before="220" w:after="60"/>
      </w:pPr>
      <w:r>
        <w:rPr>
          <w:rFonts w:ascii="Gotham" w:hAnsi="Gotham"/>
          <w:b/>
          <w:color w:val="051C2C"/>
          <w:sz w:val="22"/>
        </w:rPr>
        <w:t>3.2  ETL and historical backfill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Scope: </w:t>
      </w:r>
      <w:r>
        <w:rPr>
          <w:rFonts w:ascii="Montserrat" w:hAnsi="Montserrat"/>
          <w:b w:val="0"/>
          <w:i/>
          <w:color w:val="43535F"/>
          <w:sz w:val="20"/>
        </w:rPr>
        <w:t>[  ]  (what this workstream covers)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Deliverables: </w:t>
      </w:r>
      <w:r>
        <w:rPr>
          <w:rFonts w:ascii="Montserrat" w:hAnsi="Montserrat"/>
          <w:b w:val="0"/>
          <w:i/>
          <w:color w:val="43535F"/>
          <w:sz w:val="20"/>
        </w:rPr>
        <w:t>[  ]  (the specific documents, systems or programmes produced)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Impact: </w:t>
      </w:r>
      <w:r>
        <w:rPr>
          <w:rFonts w:ascii="Montserrat" w:hAnsi="Montserrat"/>
          <w:b w:val="0"/>
          <w:i/>
          <w:color w:val="43535F"/>
          <w:sz w:val="20"/>
        </w:rPr>
        <w:t>[  ]  (what changes for the client as a result)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Risk of inaction: </w:t>
      </w:r>
      <w:r>
        <w:rPr>
          <w:rFonts w:ascii="Montserrat" w:hAnsi="Montserrat"/>
          <w:b w:val="0"/>
          <w:i/>
          <w:color w:val="43535F"/>
          <w:sz w:val="20"/>
        </w:rPr>
        <w:t>[  ]  (what happens if this workstream is cut)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Adoption: </w:t>
      </w:r>
      <w:r>
        <w:rPr>
          <w:rFonts w:ascii="Montserrat" w:hAnsi="Montserrat"/>
          <w:b w:val="0"/>
          <w:i/>
          <w:color w:val="43535F"/>
          <w:sz w:val="20"/>
        </w:rPr>
        <w:t>[  ]  (who owns this internally once the Firm leaves)</w:t>
      </w:r>
    </w:p>
    <w:p>
      <w:pPr>
        <w:spacing w:before="220" w:after="60"/>
      </w:pPr>
      <w:r>
        <w:rPr>
          <w:rFonts w:ascii="Gotham" w:hAnsi="Gotham"/>
          <w:b/>
          <w:color w:val="051C2C"/>
          <w:sz w:val="22"/>
        </w:rPr>
        <w:t>3.3  Validation harness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Scope: </w:t>
      </w:r>
      <w:r>
        <w:rPr>
          <w:rFonts w:ascii="Montserrat" w:hAnsi="Montserrat"/>
          <w:b w:val="0"/>
          <w:i/>
          <w:color w:val="43535F"/>
          <w:sz w:val="20"/>
        </w:rPr>
        <w:t>[  ]  (what this workstream covers)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Deliverables: </w:t>
      </w:r>
      <w:r>
        <w:rPr>
          <w:rFonts w:ascii="Montserrat" w:hAnsi="Montserrat"/>
          <w:b w:val="0"/>
          <w:i/>
          <w:color w:val="43535F"/>
          <w:sz w:val="20"/>
        </w:rPr>
        <w:t>[  ]  (the specific documents, systems or programmes produced)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Impact: </w:t>
      </w:r>
      <w:r>
        <w:rPr>
          <w:rFonts w:ascii="Montserrat" w:hAnsi="Montserrat"/>
          <w:b w:val="0"/>
          <w:i/>
          <w:color w:val="43535F"/>
          <w:sz w:val="20"/>
        </w:rPr>
        <w:t>[  ]  (what changes for the client as a result)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Risk of inaction: </w:t>
      </w:r>
      <w:r>
        <w:rPr>
          <w:rFonts w:ascii="Montserrat" w:hAnsi="Montserrat"/>
          <w:b w:val="0"/>
          <w:i/>
          <w:color w:val="43535F"/>
          <w:sz w:val="20"/>
        </w:rPr>
        <w:t>[  ]  (what happens if this workstream is cut)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Adoption: </w:t>
      </w:r>
      <w:r>
        <w:rPr>
          <w:rFonts w:ascii="Montserrat" w:hAnsi="Montserrat"/>
          <w:b w:val="0"/>
          <w:i/>
          <w:color w:val="43535F"/>
          <w:sz w:val="20"/>
        </w:rPr>
        <w:t>[  ]  (who owns this internally once the Firm leaves)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4. OUT OF SCOPE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Name exclusions narrowly and specifically. A short exclusion a reader can test beats an exhaustive one they cannot.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5. ASSUMPTIONS AND DEPENDENCIES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Every assumption needs a stated consequence. An assumption without one is a disclaimer; with one it is a mechanism both parties can use.</w:t>
      </w:r>
    </w:p>
    <w:p>
      <w:pPr>
        <w:pStyle w:val="ListBullet"/>
        <w:spacing w:after="60"/>
      </w:pPr>
      <w:r>
        <w:rPr>
          <w:rFonts w:ascii="Montserrat" w:hAnsi="Montserrat"/>
          <w:b/>
          <w:color w:val="051C2C"/>
          <w:sz w:val="20"/>
        </w:rPr>
        <w:t xml:space="preserve">Assumption: </w:t>
      </w:r>
      <w:r>
        <w:rPr>
          <w:rFonts w:ascii="Montserrat" w:hAnsi="Montserrat"/>
          <w:b w:val="0"/>
          <w:color w:val="43535F"/>
          <w:sz w:val="20"/>
        </w:rPr>
        <w:t xml:space="preserve">[  ]  |  </w:t>
      </w:r>
      <w:r>
        <w:rPr>
          <w:rFonts w:ascii="Montserrat" w:hAnsi="Montserrat"/>
          <w:b/>
          <w:color w:val="051C2C"/>
          <w:sz w:val="20"/>
        </w:rPr>
        <w:t xml:space="preserve">If untrue: </w:t>
      </w:r>
      <w:r>
        <w:rPr>
          <w:rFonts w:ascii="Montserrat" w:hAnsi="Montserrat"/>
          <w:b w:val="0"/>
          <w:i/>
          <w:color w:val="43535F"/>
          <w:sz w:val="20"/>
        </w:rPr>
        <w:t>[  ] (effect on price, timing or scope, and how the change is agreed)</w:t>
      </w:r>
    </w:p>
    <w:p>
      <w:pPr>
        <w:pStyle w:val="ListBullet"/>
        <w:spacing w:after="60"/>
      </w:pPr>
      <w:r>
        <w:rPr>
          <w:rFonts w:ascii="Montserrat" w:hAnsi="Montserrat"/>
          <w:b/>
          <w:color w:val="051C2C"/>
          <w:sz w:val="20"/>
        </w:rPr>
        <w:t xml:space="preserve">Assumption: </w:t>
      </w:r>
      <w:r>
        <w:rPr>
          <w:rFonts w:ascii="Montserrat" w:hAnsi="Montserrat"/>
          <w:b w:val="0"/>
          <w:color w:val="43535F"/>
          <w:sz w:val="20"/>
        </w:rPr>
        <w:t xml:space="preserve">[  ]  |  </w:t>
      </w:r>
      <w:r>
        <w:rPr>
          <w:rFonts w:ascii="Montserrat" w:hAnsi="Montserrat"/>
          <w:b/>
          <w:color w:val="051C2C"/>
          <w:sz w:val="20"/>
        </w:rPr>
        <w:t xml:space="preserve">If untrue: </w:t>
      </w:r>
      <w:r>
        <w:rPr>
          <w:rFonts w:ascii="Montserrat" w:hAnsi="Montserrat"/>
          <w:b w:val="0"/>
          <w:i/>
          <w:color w:val="43535F"/>
          <w:sz w:val="20"/>
        </w:rPr>
        <w:t>[  ] (effect on price, timing or scope, and how the change is agreed)</w:t>
      </w:r>
    </w:p>
    <w:p>
      <w:pPr>
        <w:pStyle w:val="ListBullet"/>
        <w:spacing w:after="60"/>
      </w:pPr>
      <w:r>
        <w:rPr>
          <w:rFonts w:ascii="Montserrat" w:hAnsi="Montserrat"/>
          <w:b/>
          <w:color w:val="051C2C"/>
          <w:sz w:val="20"/>
        </w:rPr>
        <w:t xml:space="preserve">Assumption: </w:t>
      </w:r>
      <w:r>
        <w:rPr>
          <w:rFonts w:ascii="Montserrat" w:hAnsi="Montserrat"/>
          <w:b w:val="0"/>
          <w:color w:val="43535F"/>
          <w:sz w:val="20"/>
        </w:rPr>
        <w:t xml:space="preserve">[  ]  |  </w:t>
      </w:r>
      <w:r>
        <w:rPr>
          <w:rFonts w:ascii="Montserrat" w:hAnsi="Montserrat"/>
          <w:b/>
          <w:color w:val="051C2C"/>
          <w:sz w:val="20"/>
        </w:rPr>
        <w:t xml:space="preserve">If untrue: </w:t>
      </w:r>
      <w:r>
        <w:rPr>
          <w:rFonts w:ascii="Montserrat" w:hAnsi="Montserrat"/>
          <w:b w:val="0"/>
          <w:i/>
          <w:color w:val="43535F"/>
          <w:sz w:val="20"/>
        </w:rPr>
        <w:t>[  ] (effect on price, timing or scope, and how the change is agreed)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6. COMMERCIALS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State which party carries which uncertainty. A fee structure is a risk allocation before it is a price.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Structure: [  ] (fixed fee, day rate, blended or hourly)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Investment: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Team and seniority mix: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Invoicing schedule: 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7. DESCOPED ITEMS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Anything removed during negotiation belongs here with its consequence attached, so the decision is recorded rather than forgotten.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Item: [  ]  |  Risk accepted by client: 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8. ACCEPTANCE</w:t>
      </w:r>
    </w:p>
    <w:p>
      <w:pPr>
        <w:spacing w:after="140"/>
      </w:pPr>
      <w:r>
        <w:rPr>
          <w:rFonts w:ascii="Montserrat" w:hAnsi="Montserrat"/>
          <w:b w:val="0"/>
          <w:i w:val="0"/>
          <w:color w:val="43535F"/>
          <w:sz w:val="20"/>
        </w:rPr>
        <w:t>Signed for and on behalf of the parties.</w:t>
      </w:r>
    </w:p>
    <w:p>
      <w:pPr>
        <w:spacing w:before="240"/>
      </w:pPr>
      <w:r>
        <w:rPr>
          <w:rFonts w:ascii="Montserrat" w:hAnsi="Montserrat"/>
          <w:b w:val="0"/>
          <w:color w:val="43535F"/>
          <w:sz w:val="18"/>
        </w:rPr>
        <w:t>Client:  Name [  ]    Title [  ]    Signature [  ]    Date [  ]</w:t>
      </w:r>
    </w:p>
    <w:p>
      <w:pPr>
        <w:spacing w:before="240"/>
      </w:pPr>
      <w:r>
        <w:rPr>
          <w:rFonts w:ascii="Montserrat" w:hAnsi="Montserrat"/>
          <w:b w:val="0"/>
          <w:color w:val="43535F"/>
          <w:sz w:val="18"/>
        </w:rPr>
        <w:t>Firm:  Name [  ]    Title [  ]    Signature [  ]    Date [  ]</w:t>
      </w:r>
    </w:p>
    <w:p>
      <w:pPr>
        <w:spacing w:before="440"/>
        <w:jc w:val="center"/>
      </w:pPr>
      <w:r>
        <w:rPr>
          <w:rFonts w:ascii="Montserrat" w:hAnsi="Montserrat"/>
          <w:b w:val="0"/>
          <w:color w:val="43535F"/>
          <w:sz w:val="16"/>
        </w:rPr>
        <w:t>Template by Cortado Group  |  cortadogroup.com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ontserrat" w:hAnsi="Montserrat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