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otham" w:hAnsi="Gotham"/>
          <w:b/>
          <w:color w:val="43535F"/>
          <w:sz w:val="16"/>
        </w:rPr>
        <w:t>STATEMENT OF WORK</w:t>
      </w:r>
    </w:p>
    <w:p>
      <w:pPr>
        <w:spacing w:after="80"/>
      </w:pPr>
      <w:r>
        <w:rPr>
          <w:rFonts w:ascii="Gotham" w:hAnsi="Gotham"/>
          <w:b/>
          <w:color w:val="051C2C"/>
          <w:sz w:val="48"/>
        </w:rPr>
        <w:t>Buyer intelligence and segmentation</w:t>
      </w:r>
    </w:p>
    <w:p>
      <w:pPr>
        <w:spacing w:after="280"/>
      </w:pPr>
      <w:r>
        <w:rPr>
          <w:rFonts w:ascii="Montserrat" w:hAnsi="Montserrat"/>
          <w:b w:val="0"/>
          <w:color w:val="43535F"/>
          <w:sz w:val="18"/>
        </w:rPr>
        <w:t>Market strategy  |  4-6 wks · 3 workstreams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Documents the tribal knowledge held by tenured reps into buyer intelligence, an ICP and disqualification criteria.</w:t>
      </w:r>
    </w:p>
    <w:p>
      <w:pPr>
        <w:spacing w:before="200" w:after="200"/>
      </w:pPr>
      <w:r>
        <w:rPr>
          <w:rFonts w:ascii="Montserrat" w:hAnsi="Montserrat"/>
          <w:b w:val="0"/>
          <w:color w:val="43535F"/>
          <w:sz w:val="20"/>
        </w:rPr>
        <w:t>Between [  ] (the Client) and [  ] (the Firm), dated [  ].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HOW TO USE THIS TEMPLATE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Square brackets mark everything that must be replaced. Nothing in this document should reach a client with a bracket still in it.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The structure follows the argument a buyer actually evaluates: what is true now, what it costs to leave alone, what will exist when the work is finished, and what happens if an assumption turns out to be wrong.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1. SITUATION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Four bullets, each carrying a number, a named entity or a date. Delete anything a competitor could have written after reading the client's website.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2. COMPLICATION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the problem with a size attached. A complication with no number cannot be weighed against the fee.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Current performance: [  ] against a benchmark of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Consequence if unaddressed: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Surfaces at: [  ] (meeting, review or reporting point)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3. SCOPE OF WORK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This engagement comprises 3 workstreams over 4-6 wks · 3 workstreams.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3.1  Segment definitions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3.2  Buyer intelligence documents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3.3  ICP and disqualification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4. OUT OF SCOPE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Name exclusions narrowly and specifically. A short exclusion a reader can test beats an exhaustive one they cannot.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5. ASSUMPTIONS AND DEPENDENCIES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Every assumption needs a stated consequence. An assumption without one is a disclaimer; with one it is a mechanism both parties can use.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6. COMMERCIALS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which party carries which uncertainty. A fee structure is a risk allocation before it is a price.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Structure: [  ] (fixed fee, day rate, blended or hourly)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Investment: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Team and seniority mix: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Invoicing schedule: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7. DESCOPED ITEMS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Anything removed during negotiation belongs here with its consequence attached, so the decision is recorded rather than forgotten.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Item: [  ]  |  Risk accepted by client: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8. ACCEPTANCE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Signed for and on behalf of the parties.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Client:  Name [  ]    Title [  ]    Signature [  ]    Date [  ]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Firm:  Name [  ]    Title [  ]    Signature [  ]    Date [  ]</w:t>
      </w:r>
    </w:p>
    <w:p>
      <w:pPr>
        <w:spacing w:before="440"/>
        <w:jc w:val="center"/>
      </w:pPr>
      <w:r>
        <w:rPr>
          <w:rFonts w:ascii="Montserrat" w:hAnsi="Montserrat"/>
          <w:b w:val="0"/>
          <w:color w:val="43535F"/>
          <w:sz w:val="16"/>
        </w:rPr>
        <w:t>Template by Cortado Group  |  cortadogroup.com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